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76" w:before="57" w:after="57"/>
        <w:ind w:hanging="0" w:left="0" w:right="0"/>
        <w:jc w:val="center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TERMO DE REFERÊNCIA </w:t>
      </w:r>
    </w:p>
    <w:p>
      <w:pPr>
        <w:pStyle w:val="Normal"/>
        <w:spacing w:lineRule="auto" w:line="276" w:before="0" w:after="0"/>
        <w:ind w:left="0" w:right="0"/>
        <w:jc w:val="center"/>
        <w:rPr>
          <w:rFonts w:ascii="Verdana" w:hAnsi="Verdana" w:eastAsia="Times New Roman" w:cs="Arial"/>
          <w:b/>
          <w:bCs/>
          <w:iCs/>
          <w:color w:val="000000"/>
          <w:sz w:val="20"/>
          <w:szCs w:val="20"/>
        </w:rPr>
      </w:pP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iCs/>
          <w:color w:val="00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AQUISIÇÃO DE MATERIAIS DE SINALIZAÇÃO PARA O DEPARTAMENTO DE TRÂNSITO</w:t>
      </w:r>
    </w:p>
    <w:p>
      <w:pPr>
        <w:pStyle w:val="Normal"/>
        <w:spacing w:lineRule="auto" w:line="276" w:before="0" w:after="0"/>
        <w:ind w:left="0" w:right="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sz w:val="20"/>
          <w:szCs w:val="20"/>
        </w:rPr>
        <w:t>0003254</w:t>
      </w:r>
      <w:r>
        <w:rPr>
          <w:rFonts w:ascii="Verdana" w:hAnsi="Verdana"/>
          <w:b/>
          <w:bCs/>
          <w:sz w:val="20"/>
          <w:szCs w:val="20"/>
        </w:rPr>
        <w:t xml:space="preserve">/2026 de 08 de maio de 2026 – Secretaria Municipal de </w:t>
      </w:r>
      <w:r>
        <w:rPr>
          <w:rFonts w:eastAsia="Times New Roman" w:cs="Times New Roman" w:ascii="Verdana" w:hAnsi="Verdana"/>
          <w:b/>
          <w:bCs/>
          <w:sz w:val="20"/>
          <w:szCs w:val="20"/>
        </w:rPr>
        <w:t>Serviços Urbanos e Transportes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1. OBJETO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1.1. A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quisição de materiais de sinalização para uso na sinalização das vias públicas deste município, em atendimento as necessidades do Departamento de Trânsito , para que possam  desenvolver  suas atividades junto a população, bem como dar melhores condições para o bom andamento dos trabalhos de fiscalização do trânsito realizados pelos seus Agentes de Trânsito, </w:t>
      </w:r>
      <w:r>
        <w:rPr>
          <w:rFonts w:cs="Arial" w:ascii="Verdana" w:hAnsi="Verdana"/>
          <w:b w:val="false"/>
          <w:bCs w:val="false"/>
          <w:sz w:val="20"/>
          <w:szCs w:val="20"/>
        </w:rPr>
        <w:t>de acordo com os critérios e condições estabelecidas neste termo de referência, etp e seus anexo</w:t>
      </w:r>
      <w:r>
        <w:rPr>
          <w:rFonts w:cs="Arial" w:ascii="Verdana" w:hAnsi="Verdana"/>
          <w:sz w:val="20"/>
          <w:szCs w:val="20"/>
        </w:rPr>
        <w:t>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tbl>
      <w:tblPr>
        <w:tblW w:w="9705" w:type="dxa"/>
        <w:jc w:val="left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98"/>
        <w:gridCol w:w="3856"/>
        <w:gridCol w:w="852"/>
        <w:gridCol w:w="1063"/>
        <w:gridCol w:w="1360"/>
        <w:gridCol w:w="1676"/>
      </w:tblGrid>
      <w:tr>
        <w:trPr/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ITEM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DESCRIÇÃO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UND.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QUANT.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ESTIMADO UNITÁRIO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ESTIMADO TOTAL</w:t>
            </w:r>
          </w:p>
        </w:tc>
      </w:tr>
      <w:tr>
        <w:trPr/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01</w:t>
            </w:r>
          </w:p>
        </w:tc>
        <w:tc>
          <w:tcPr>
            <w:tcW w:w="38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CONES  cones </w:t>
            </w:r>
            <w:r>
              <w:rPr>
                <w:rFonts w:cs="Arial" w:ascii="Verdana" w:hAnsi="Verdana"/>
                <w:sz w:val="20"/>
                <w:szCs w:val="20"/>
              </w:rPr>
              <w:t>do tipo “barril”, canalizador de trânsito, base quadrada, 110cm de altura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false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R$ 220,00</w:t>
            </w:r>
          </w:p>
        </w:tc>
        <w:tc>
          <w:tcPr>
            <w:tcW w:w="1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  <w:t>R$ 2.200,00</w:t>
            </w:r>
          </w:p>
        </w:tc>
      </w:tr>
      <w:tr>
        <w:trPr/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02</w:t>
            </w:r>
          </w:p>
        </w:tc>
        <w:tc>
          <w:tcPr>
            <w:tcW w:w="38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POSTE para sinalização viária, cilíndrico em aço galvanizado com 3m de comprimento e 2 pol de diâmetro.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  <w:t>R$ 110,00</w:t>
            </w:r>
          </w:p>
        </w:tc>
        <w:tc>
          <w:tcPr>
            <w:tcW w:w="1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  <w:t>R$ 5.500,00</w:t>
            </w:r>
          </w:p>
        </w:tc>
      </w:tr>
      <w:tr>
        <w:trPr/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03</w:t>
            </w:r>
          </w:p>
        </w:tc>
        <w:tc>
          <w:tcPr>
            <w:tcW w:w="38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POSTE para sinalização viária, cilíndrico em aço galvanizado com 6m de comprimento e 2 pol de diâmetro.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  <w:t>R$ 220,00</w:t>
            </w:r>
          </w:p>
        </w:tc>
        <w:tc>
          <w:tcPr>
            <w:tcW w:w="1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  <w:t>R$ 22.000,00</w:t>
            </w:r>
          </w:p>
        </w:tc>
      </w:tr>
      <w:tr>
        <w:trPr/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8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CAVALETE PLÁSTICO Tipo a – Altura 1000 mm Largura 2060 mm profundidade 900 mm peso 6,5 kg. (+ ou – 10%) Laranja com Faixa Refletiva Branca. Consulte-nos para faixas personalizadas Polietileno semi-flexível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  <w:t>R$ 520,00</w:t>
            </w:r>
          </w:p>
        </w:tc>
        <w:tc>
          <w:tcPr>
            <w:tcW w:w="1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overflowPunct w:val="true"/>
              <w:bidi w:val="0"/>
              <w:spacing w:lineRule="auto" w:line="276" w:before="57" w:after="57"/>
              <w:ind w:hanging="0" w:left="57" w:right="113"/>
              <w:jc w:val="right"/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</w:pPr>
            <w:r>
              <w:rPr>
                <w:rFonts w:ascii="Verdana" w:hAnsi="Verdana"/>
                <w:color w:val="auto"/>
                <w:kern w:val="0"/>
                <w:sz w:val="20"/>
                <w:szCs w:val="20"/>
                <w:lang w:bidi="ar-SA"/>
              </w:rPr>
              <w:t>R$ 5.200,00</w:t>
            </w:r>
          </w:p>
        </w:tc>
      </w:tr>
      <w:tr>
        <w:trPr>
          <w:trHeight w:val="1022" w:hRule="atLeast"/>
        </w:trPr>
        <w:tc>
          <w:tcPr>
            <w:tcW w:w="97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pacing w:val="-5"/>
                <w:sz w:val="20"/>
                <w:szCs w:val="20"/>
              </w:rPr>
              <w:t xml:space="preserve">VALOR TOTAL ESTIMADO: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>R$  34.900,00 (trinta e quatro mil e novecentos reais)</w:t>
            </w:r>
          </w:p>
        </w:tc>
      </w:tr>
    </w:tbl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</w:t>
      </w:r>
      <w:r>
        <w:rPr>
          <w:rFonts w:ascii="Verdana" w:hAnsi="Verdana"/>
          <w:iCs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O prazo de vigência da aquisição será de 60 (sessenta) dias, com a entrega em até 30 (trinta) dias após a confirmação de recebimento da autorização de fornecimento emitida pelo Departamento de Compras e Contratos.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SimSun" w:cs="Arial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  <w:t xml:space="preserve">1.4. </w:t>
      </w:r>
      <w:r>
        <w:rPr>
          <w:rFonts w:eastAsia="SimSu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O objeto da aquisição será composto por 04 itens, de preço total estimado orçado pela administração no valor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 R$ 34.900,00 (trinta  e quatro mil e novecentos reais)</w:t>
      </w:r>
      <w:r>
        <w:rPr>
          <w:rFonts w:eastAsia="SimSun" w:cs="Arial" w:ascii="Verdana" w:hAnsi="Verdana"/>
          <w:b w:val="false"/>
          <w:bCs w:val="false"/>
          <w:i w:val="false"/>
          <w:iCs w:val="false"/>
          <w:color w:val="C9211E"/>
          <w:sz w:val="20"/>
          <w:szCs w:val="20"/>
          <w:u w:val="none"/>
        </w:rPr>
        <w:t xml:space="preserve"> </w:t>
      </w:r>
      <w:r>
        <w:rPr>
          <w:rFonts w:eastAsia="SimSu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 Para fins de classificação, será considerado o menor preço unitário.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SimSu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1</w:t>
      </w:r>
      <w:r>
        <w:rPr>
          <w:rFonts w:eastAsia="SimSu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u w:val="none"/>
          <w:lang w:val="pt-BR" w:eastAsia="pt-BR" w:bidi="ar-SA"/>
        </w:rPr>
        <w:t xml:space="preserve">.5. A presente contratação, cujo valor estimado total é de R$ 34.900,00 (trinta e quatro mil e novecentos reais), enquadra-se no disposto no art. 48, I, da Lei Complementar nº 123/2006 e no Decreto nº 8.538/2015, motivo pelo qual a licitação será realizada com exclusividade para microempresas e empresas de pequeno porte, nos termos do art. 6º, XXIII, e art. 40 da Lei nº 14.133/2021. </w:t>
      </w:r>
    </w:p>
    <w:p>
      <w:pPr>
        <w:pStyle w:val="ListParagraph"/>
        <w:suppressAutoHyphens w:val="false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eastAsia="SimSun" w:cs="Arial"/>
          <w:b w:val="false"/>
          <w:bCs w:val="false"/>
          <w:i w:val="false"/>
          <w:iCs w:val="false"/>
          <w:sz w:val="20"/>
          <w:szCs w:val="20"/>
          <w:u w:val="none"/>
        </w:rPr>
      </w:pPr>
      <w:r>
        <w:rPr>
          <w:rFonts w:eastAsia="SimSun" w:cs="Arial" w:ascii="Verdana" w:hAnsi="Verdana"/>
          <w:b w:val="false"/>
          <w:bCs w:val="false"/>
          <w:i w:val="false"/>
          <w:iCs w:val="false"/>
          <w:sz w:val="20"/>
          <w:szCs w:val="20"/>
          <w:u w:val="none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FUNDAMENTAÇÃO E DESCRIÇÃO DA NECESSIDADE DA CONTRATAÇÃO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2.1. A aquisição dos materiais de sinalização deve-se pela necessidade do Departamento de Trânsito em proceder com a devida sinalização do trânsito, para que possam  desenvolver  suas atividades junto a população, bem como dar melhores condições para o bom andamento dos trabalhos de fiscalização do trânsito realizados pelos seus Agentes de Trânsito.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2.2.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2.3. A quantidade foi estimada com base na demanda solicitada pel</w:t>
      </w:r>
      <w:r>
        <w:rPr>
          <w:rStyle w:val="Fontepargpadro1"/>
          <w:rFonts w:eastAsia="Arial" w:cs="Arial" w:ascii="Verdana" w:hAnsi="Verdana"/>
          <w:b w:val="false"/>
          <w:bCs w:val="false"/>
          <w:sz w:val="20"/>
          <w:szCs w:val="20"/>
        </w:rPr>
        <w:t>o Departamento de Trânsito.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2.4. A demanda se faz justificada para garantir à população o direito a adequada sinalização do trânsito, proporcionando maior segurança no trânsito aos moradores do município.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 w:eastAsia="Calibri" w:cs="Arial"/>
          <w:color w:val="auto"/>
          <w:kern w:val="0"/>
          <w:sz w:val="20"/>
          <w:szCs w:val="20"/>
          <w:shd w:fill="auto" w:val="clear"/>
          <w:lang w:val="pt-BR" w:eastAsia="zh-CN" w:bidi="hi-IN"/>
        </w:rPr>
      </w:pPr>
      <w:r>
        <w:rPr>
          <w:rFonts w:eastAsia="Calibri" w:cs="Arial" w:ascii="Verdana" w:hAnsi="Verdana"/>
          <w:color w:val="auto"/>
          <w:kern w:val="0"/>
          <w:sz w:val="20"/>
          <w:szCs w:val="20"/>
          <w:shd w:fill="auto" w:val="clear"/>
          <w:lang w:val="pt-BR" w:eastAsia="zh-CN" w:bidi="hi-IN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 COMO UM TODO CONSIDERANDO O CICLO DE VIDA DO OBJETO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3.1 A solução a ser adotada consiste na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aquisição de materiais destinados exclusivamente a ao Departamento de Trânsito, visando garantir a população  o direito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adequada sinalização do trânsito, proporcionando maior segurança no trânsito aos moradores do município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3.2. As especificações dos produtos que estão contidas neste Estudo Técnico Preliminar, conforme solicitação de compras em anexo, estão de acordo com os padrões existentes no mercado.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3.3 A aquisição deverá obedecer, no que couber, ao disposto na Lei n.º 14.133/2021 e suas alterações.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4.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4.2. Neste procedimento será considerado vencedor o fornecedor que apresentar o menor preço, que poderá ser utilizado o critério de menor preço por item.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>4.2</w:t>
      </w:r>
      <w:r>
        <w:rPr>
          <w:rFonts w:eastAsia="Arial" w:cs="Arial" w:ascii="Verdana" w:hAnsi="Verdana"/>
          <w:b/>
          <w:bCs/>
          <w:sz w:val="20"/>
          <w:szCs w:val="20"/>
        </w:rPr>
        <w:t>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A aquisição deverá obedecer, no que couber, ao disposto na Lei n.º 14.133/2021 e suas alterações e demais legislações correlatas.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 w:val="false"/>
          <w:bCs w:val="false"/>
          <w:sz w:val="20"/>
          <w:szCs w:val="20"/>
        </w:rPr>
        <w:t xml:space="preserve">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 MODELO DE EXECUÇÃO CONTRATUAL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  <w:u w:val="none"/>
        </w:rPr>
        <w:t>5.1. A</w:t>
      </w:r>
      <w:r>
        <w:rPr>
          <w:rFonts w:eastAsia="Times New Roman" w:cs="Times New Roman"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eastAsia="Arial" w:cs="Arial" w:ascii="Verdana" w:hAnsi="Verdana"/>
          <w:b w:val="false"/>
          <w:bCs w:val="false"/>
          <w:iCs/>
          <w:color w:val="auto"/>
          <w:kern w:val="0"/>
          <w:sz w:val="20"/>
          <w:szCs w:val="20"/>
          <w:u w:val="none"/>
          <w:lang w:val="pt-BR" w:eastAsia="pt-BR" w:bidi="ar-SA"/>
        </w:rPr>
        <w:t>entrega será  30  (dias), após a confirmação de recebimento da autorização de fornecimento emitida pelo Departamento de Compras e Contratos.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5.2. LOCAL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DA ENTREGA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– Bairro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Glória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CEP 29.7800-000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5.3.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Tel: 27 3727-2770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Email: serviurbanos@saogabriel.es.gov.br;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bookmarkStart w:id="0" w:name="__DdeLink__223_3852470558"/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Serviços Urbanos e Transporte</w:t>
      </w:r>
      <w:bookmarkEnd w:id="0"/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>5.4</w:t>
      </w:r>
      <w:r>
        <w:rPr>
          <w:rFonts w:cs="Times New Roman" w:ascii="Verdana" w:hAnsi="Verdana"/>
          <w:b/>
          <w:bCs/>
          <w:iCs/>
          <w:sz w:val="20"/>
          <w:szCs w:val="20"/>
        </w:rPr>
        <w:t xml:space="preserve">. </w:t>
      </w:r>
      <w:r>
        <w:rPr>
          <w:rFonts w:cs="Times New Roman" w:ascii="Verdana" w:hAnsi="Verdana"/>
          <w:bCs/>
          <w:iCs/>
          <w:sz w:val="20"/>
          <w:szCs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>
        <w:rPr>
          <w:rFonts w:cs="Times New Roman" w:ascii="Verdana" w:hAnsi="Verdana"/>
          <w:iCs/>
          <w:sz w:val="20"/>
          <w:szCs w:val="20"/>
        </w:rPr>
        <w:t>força</w:t>
      </w:r>
      <w:r>
        <w:rPr>
          <w:rFonts w:cs="Times New Roman" w:ascii="Verdana" w:hAnsi="Verdana"/>
          <w:bCs/>
          <w:iCs/>
          <w:sz w:val="20"/>
          <w:szCs w:val="20"/>
        </w:rPr>
        <w:t xml:space="preserve"> maior.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5.5.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>
      <w:pPr>
        <w:pStyle w:val="Nivel2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5.6.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5.7.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>
        <w:rPr>
          <w:rFonts w:eastAsia="Times New Roman" w:cs="Times New Roman" w:ascii="Verdana" w:hAnsi="Verdana"/>
          <w:sz w:val="20"/>
          <w:szCs w:val="20"/>
        </w:rPr>
        <w:t>da contratada pelos prejuízos resultantes da incorreta execução do contrato.</w:t>
      </w:r>
    </w:p>
    <w:p>
      <w:pPr>
        <w:pStyle w:val="Nivel2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>
      <w:pPr>
        <w:pStyle w:val="Nivel2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6 .</w:t>
      </w:r>
      <w:r>
        <w:rPr>
          <w:rFonts w:cs="Arial" w:ascii="Verdana" w:hAnsi="Verdana"/>
          <w:b/>
          <w:bCs/>
          <w:sz w:val="20"/>
          <w:szCs w:val="20"/>
        </w:rPr>
        <w:t xml:space="preserve"> DEFINIÇÃO E JUSTIFICATIVA DE CARACTERIZAÇÃO DO OBJETO E PRAZOS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</w:rPr>
        <w:t>A especificação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 xml:space="preserve"> dos objetos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contidos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neste Termo de Referência e no ETP,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foram estudadas para atender todas as necessidades apresentadas e é necessária a garantir uma boa qualidade do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serviço prestado, conforme descrito no ETP.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6.2.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O fornecedor deverá entregar o objeto de acordo com as informações contidas neste Termo de Referência e no ETP.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sz w:val="20"/>
          <w:szCs w:val="20"/>
          <w:u w:val="none"/>
          <w:lang w:eastAsia="zh-CN"/>
        </w:rPr>
        <w:t xml:space="preserve">6.3. Não será necessário 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color w:val="auto"/>
          <w:kern w:val="0"/>
          <w:sz w:val="20"/>
          <w:szCs w:val="20"/>
          <w:u w:val="none"/>
          <w:lang w:val="pt-BR" w:eastAsia="zh-CN" w:bidi="ar-SA"/>
        </w:rPr>
        <w:t>a celebração de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sz w:val="20"/>
          <w:szCs w:val="20"/>
          <w:u w:val="none"/>
          <w:lang w:eastAsia="zh-CN"/>
        </w:rPr>
        <w:t xml:space="preserve"> contrato de 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color w:val="auto"/>
          <w:kern w:val="0"/>
          <w:sz w:val="20"/>
          <w:szCs w:val="20"/>
          <w:u w:val="none"/>
          <w:lang w:val="pt-BR" w:eastAsia="zh-CN" w:bidi="ar-SA"/>
        </w:rPr>
        <w:t>prestação de serviços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sz w:val="20"/>
          <w:szCs w:val="20"/>
          <w:u w:val="none"/>
          <w:lang w:eastAsia="zh-CN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7. OBRIGAÇÕES DO CONTRA</w:t>
      </w:r>
      <w:r>
        <w:rPr>
          <w:rFonts w:cs="Arial" w:ascii="Verdana" w:hAnsi="Verdana"/>
          <w:b/>
          <w:bCs/>
          <w:sz w:val="20"/>
          <w:szCs w:val="20"/>
          <w:u w:val="none"/>
        </w:rPr>
        <w:t>TANTE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Averiguar a entrega do objeto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no prazo e condições estabelecidas neste Termo de Referência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7.2. Verificar minuciosamente, no prazo fixado, a conformidade dos objetos entregues com as especificações constantes neste Termo de Referência e da proposta, para fins de aceitação e recebimento definitivo.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entregue, para que seja substituído, reparado ou corrigido.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entrega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presente aquisição,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bem como por qualquer dano causado a terceiros em decorrência de ato da Contratada.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i w:val="false"/>
          <w:i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8.2. Efetuar a entrega dos objetos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8.3. Substituir, reparar ou corrigir, às suas expensas, no prazo fixado neste Termo de Referência, o objeto com avarias ou defeitos.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8.4.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 nota fiscal deverá ser acompanhada pelas Certidões de Regularidades Fiscais.</w:t>
      </w:r>
      <w:r>
        <w:rPr>
          <w:rFonts w:ascii="Verdana" w:hAnsi="Verdana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8.5. A Contratada deve cumprir todas as obrigações constantes neste TR, seus anexos.</w:t>
      </w:r>
    </w:p>
    <w:p>
      <w:pPr>
        <w:pStyle w:val="BodyText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u w:val="none"/>
        </w:rPr>
        <w:t>9. RESULTADOS PRETENDIDOS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9.1.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 xml:space="preserve">Com a futura aquisição o resultado esperado é ter a disposição materiais para a com a sinalização do trânsito do município,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garantindo à população o direito a adequada sinalização do trânsito, proporcionando maior segurança no trânsito para os moradores do município.</w:t>
      </w:r>
      <w:r>
        <w:rPr>
          <w:rFonts w:eastAsia="Times New Roman" w:cs="Arial" w:ascii="Verdana" w:hAnsi="Verdana"/>
          <w:b w:val="false"/>
          <w:bCs w:val="false"/>
          <w:color w:val="C9211E"/>
          <w:kern w:val="0"/>
          <w:sz w:val="20"/>
          <w:szCs w:val="20"/>
          <w:u w:val="none"/>
          <w:shd w:fill="auto" w:val="clear"/>
          <w:lang w:val="pt-BR" w:eastAsia="zh-CN" w:bidi="ar-SA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t-BR" w:eastAsia="zh-CN" w:bidi="ar-SA"/>
        </w:rPr>
        <w:t>O quantitativo será suficiente para suprir a demanda atual desta Secretaria.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10. REGULARIDADE FISCAL E TRABALHISTA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10.1. </w:t>
      </w:r>
      <w:r>
        <w:rPr>
          <w:rFonts w:cs="Arial" w:ascii="Verdana" w:hAnsi="Verdana"/>
          <w:b w:val="false"/>
          <w:bCs w:val="false"/>
          <w:sz w:val="20"/>
          <w:szCs w:val="20"/>
        </w:rPr>
        <w:t>Cópia de inscrição no Cadastro de Pessoas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u w:val="none"/>
        </w:rPr>
        <w:t>Jurídicas – CNPJ.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10.2.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Prova de regularidade com a Fazenda Pública Federal, referente à Certidão de Débitos relativos a Créditos Tributários Federais e à Dívida Ativa da União, que poderá ser solicitada no site http://receita.economia.gov.br; </w:t>
      </w:r>
    </w:p>
    <w:p>
      <w:pPr>
        <w:pStyle w:val="Normal"/>
        <w:spacing w:lineRule="auto" w:line="276" w:before="57" w:after="57"/>
        <w:ind w:left="0" w:right="0"/>
        <w:jc w:val="both"/>
        <w:rPr/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10.3.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Prova de regularidade com a Fazenda Estadual, que poderá ser solicitada no site </w:t>
      </w:r>
      <w:hyperlink r:id="rId2">
        <w:r>
          <w:rPr>
            <w:rStyle w:val="Style8"/>
            <w:rFonts w:cs="Arial" w:ascii="Verdana" w:hAnsi="Verdana"/>
            <w:b w:val="false"/>
            <w:bCs w:val="false"/>
            <w:color w:val="000000"/>
            <w:sz w:val="20"/>
            <w:szCs w:val="20"/>
            <w:u w:val="none"/>
          </w:rPr>
          <w:t>https://internet.sefaz.es.gov.br</w:t>
        </w:r>
      </w:hyperlink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10.4.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Prova de regularidade com a Fazenda Pública Municipal referente ao domicílio do interessado.</w:t>
      </w:r>
    </w:p>
    <w:p>
      <w:pPr>
        <w:pStyle w:val="Normal"/>
        <w:spacing w:lineRule="auto" w:line="276" w:before="57" w:after="57"/>
        <w:ind w:left="0" w:right="0"/>
        <w:jc w:val="both"/>
        <w:rPr/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10.5. </w:t>
      </w:r>
      <w:r>
        <w:rPr>
          <w:rFonts w:cs="Arial" w:ascii="Verdana" w:hAnsi="Verdana"/>
          <w:b w:val="false"/>
          <w:bCs w:val="false"/>
          <w:sz w:val="20"/>
          <w:szCs w:val="20"/>
        </w:rPr>
        <w:t>Prova de inexistência de débitos inadimplidos perante a Justiça do Trabalho, mediante a apresentação de certidão negativa, nos termos do Título VII-A da Con</w:t>
      </w:r>
      <w:r>
        <w:rPr>
          <w:rFonts w:cs="Arial" w:ascii="Verdana" w:hAnsi="Verdana"/>
          <w:sz w:val="20"/>
          <w:szCs w:val="20"/>
        </w:rPr>
        <w:t xml:space="preserve">solidação das Leis do Trabalho, aprovada pelo Decreto-Lei n.º 5.452, de 1º de maio de 1943, que poderá ser retirada no site </w:t>
      </w:r>
      <w:hyperlink r:id="rId3">
        <w:r>
          <w:rPr>
            <w:rStyle w:val="Hyperlink"/>
            <w:rFonts w:cs="Arial" w:ascii="Verdana" w:hAnsi="Verdana"/>
            <w:sz w:val="20"/>
            <w:szCs w:val="20"/>
          </w:rPr>
          <w:t>http://www.tst.jus.br</w:t>
        </w:r>
      </w:hyperlink>
      <w:r>
        <w:rPr>
          <w:rFonts w:cs="Arial" w:ascii="Verdana" w:hAnsi="Verdana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10.6 Certidão de regularidade junto ao</w:t>
      </w:r>
      <w:r>
        <w:rPr>
          <w:rFonts w:cs="Arial" w:ascii="Verdana" w:hAnsi="Verdana"/>
          <w:b/>
          <w:sz w:val="20"/>
          <w:szCs w:val="20"/>
        </w:rPr>
        <w:t xml:space="preserve"> FGTS;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11. DAS SANÇÕES ADMINISTRATIVAS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a o procedimento ou 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o procedimento ou praticar ato fraudulento na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do procedimento, mesmo após o encerramento da fase de lances.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ab/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ab/>
        <w:tab/>
        <w:t>b.2) A multa pode ser aplicada isoladamente ou juntamente com as penali</w:t>
      </w:r>
      <w:r>
        <w:rPr>
          <w:rFonts w:ascii="Verdana" w:hAnsi="Verdana"/>
          <w:iCs/>
          <w:sz w:val="20"/>
          <w:szCs w:val="20"/>
        </w:rPr>
        <w:t xml:space="preserve">dades definidas nos itens “c” e “d” abaixo: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</w:t>
      </w:r>
      <w:r>
        <w:rPr>
          <w:rFonts w:ascii="Verdana" w:hAnsi="Verdana"/>
          <w:iCs/>
          <w:sz w:val="20"/>
          <w:szCs w:val="20"/>
          <w:lang w:eastAsia="en-US"/>
        </w:rPr>
        <w:t>a Lei 14.133/2021 – Das Infrações e Sanções Administrativas.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  <w:r>
        <w:rPr>
          <w:rFonts w:ascii="Verdana" w:hAnsi="Verdana"/>
          <w:sz w:val="20"/>
          <w:szCs w:val="20"/>
          <w:lang w:eastAsia="en-US"/>
        </w:rPr>
        <w:t xml:space="preserve">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b) Cadastro Nacional de Empresas Inidôneas e Suspensas – CEIS, mantido pela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Controladoria-Geral da União (</w:t>
      </w:r>
      <w:hyperlink r:id="rId4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ind w:left="0" w:right="0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 responsáveis/proibidos-de-contratar/).</w:t>
      </w:r>
    </w:p>
    <w:p>
      <w:pPr>
        <w:pStyle w:val="Normal"/>
        <w:spacing w:lineRule="auto" w:line="276" w:before="57" w:after="57"/>
        <w:ind w:left="0" w:right="0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12.1.2. A consulta aos cadastros será realizada em nome da empresa licitante e também de seu sócio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12.2..1. </w:t>
      </w:r>
      <w:r>
        <w:rPr>
          <w:rFonts w:cs="Verdana" w:ascii="Verdana" w:hAnsi="Verdana"/>
          <w:sz w:val="20"/>
          <w:szCs w:val="20"/>
          <w:lang w:eastAsia="ar-SA"/>
        </w:rPr>
        <w:t xml:space="preserve">O interessado, para efeitos de habilitação prevista na Instrução Normativa 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shd w:val="clear"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12.5. Não serão aceitos documentos de habilitação com indicação de CNPJ/CPF diferentes, salvo aqueles legalmente permitidos.</w:t>
      </w:r>
    </w:p>
    <w:p>
      <w:pPr>
        <w:pStyle w:val="PADRO"/>
        <w:widowControl/>
        <w:shd w:val="clear"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val="clear" w:fill="FFFFFF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12.8. Habilitação jurídica: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 xml:space="preserve">o </w:t>
      </w:r>
      <w:hyperlink r:id="rId8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12.8.7. No caso de empresa ou sociedade estrangeira em funcionamento no País: decreto de autorização;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12.8.8. </w:t>
      </w:r>
      <w:r>
        <w:rPr>
          <w:rFonts w:cs="Verdana" w:ascii="Verdana" w:hAnsi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>
      <w:pPr>
        <w:pStyle w:val="ListParagraph"/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12.09.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.1. Certidão negativa de falência, recuperação judicial e extrajudicial, expedida pelo cartório distribuidor da sede da Licitante ou por meio digital, emitida em até 30 (trinta) dias anteriores à data de abertura do procedimento;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.2.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sz w:val="20"/>
          <w:szCs w:val="20"/>
        </w:rPr>
        <w:t>.3. Para a contagem do prazo estabelecido na letra “a” deste capítulo, será contado a partir do primeiro dia que antecede a data da realização da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  <w:t>12.</w:t>
      </w:r>
      <w:r>
        <w:rPr>
          <w:rFonts w:eastAsia="Times New Roman" w:cs="Verdana" w:ascii="Verdana" w:hAnsi="Verdana"/>
          <w:b w:val="false"/>
          <w:bCs w:val="false"/>
          <w:iCs/>
          <w:color w:val="000000"/>
          <w:kern w:val="0"/>
          <w:sz w:val="20"/>
          <w:szCs w:val="20"/>
          <w:lang w:val="pt-BR" w:eastAsia="en-US" w:bidi="ar-SA"/>
        </w:rPr>
        <w:t>9</w:t>
      </w: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  <w:t>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hanging="0" w:left="0" w:right="0"/>
        <w:contextualSpacing/>
        <w:jc w:val="both"/>
        <w:rPr>
          <w:rFonts w:ascii="Verdana" w:hAnsi="Verdana" w:eastAsia="Times New Roman" w:cs="Verdana"/>
          <w:b/>
          <w:color w:val="000000"/>
          <w:kern w:val="0"/>
          <w:sz w:val="21"/>
          <w:szCs w:val="21"/>
          <w:lang w:val="pt-BR" w:eastAsia="pt-BR" w:bidi="ar-SA"/>
        </w:rPr>
      </w:pPr>
      <w:r>
        <w:rPr>
          <w:rFonts w:eastAsia="Times New Roman" w:cs="Verdana" w:ascii="Verdana" w:hAnsi="Verdana"/>
          <w:b/>
          <w:color w:val="000000"/>
          <w:kern w:val="0"/>
          <w:sz w:val="21"/>
          <w:szCs w:val="21"/>
          <w:lang w:val="pt-BR" w:eastAsia="pt-BR" w:bidi="ar-SA"/>
        </w:rPr>
        <w:t>12.10 Qualificação Técnica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 w:cs="Verdana"/>
          <w:b w:val="false"/>
          <w:bCs w:val="false"/>
          <w:iCs/>
          <w:color w:val="000000"/>
          <w:sz w:val="20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lang w:eastAsia="en-US"/>
        </w:rPr>
        <w:t xml:space="preserve">12.10.1 Em razão da simplicidade do objeto — aquisição de materiais de consumo para sinalização viária — e com fundamento no art. 37, XXI, da Constituição Federal, dispensa-se a exigência de apresentação de atestado de capacidade técnica, por se tratar de fornecimento de bens comuns que não exige especialidade técnica para sua execução. 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 w:cs="Verdana"/>
          <w:b w:val="false"/>
          <w:bCs w:val="false"/>
          <w:iCs/>
          <w:color w:val="000000"/>
          <w:sz w:val="20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lang w:eastAsia="en-US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13. CRITÉRIOS DE PAGAMENTO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13.1.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Style8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instrText xml:space="preserve"> HYPERLINK "http://www.planalto.gov.br/ccivil_03/_ato2019-2022/2021/lei/L14133.htm" \l "art75"</w:instrText>
      </w:r>
      <w:r>
        <w:rPr>
          <w:rStyle w:val="Style8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fldChar w:fldCharType="separate"/>
      </w:r>
      <w:r>
        <w:rPr>
          <w:rStyle w:val="Style8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Style8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O prazo de validade;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A data da emissão;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Os dados do contrato e do órgão contratante;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período respectivo de execução do contrato;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O valor a pagar; e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0" w:leader="none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13.5.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13.6. O pagamento será efetuado no prazo de até 30 (trinta) dias úteis contados da finalização da liquidação da despesa.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12.8. Será considerada data do pagamento o dia em que constar como emitida a ordem bancária para pagamento.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13.9. Quando do pagamento, será efetuada a retenção tributária prevista na legislação aplicável.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13.10. O contratado regularmente optante pelo Simples Nacional, nos termos da </w:t>
      </w:r>
      <w:hyperlink r:id="rId9">
        <w:r>
          <w:rPr>
            <w:rStyle w:val="Style8"/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13.11.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13.11.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Após o pra</w:t>
      </w:r>
      <w:r>
        <w:rPr>
          <w:rFonts w:ascii="Verdana" w:hAnsi="Verdana"/>
          <w:sz w:val="20"/>
          <w:szCs w:val="20"/>
        </w:rPr>
        <w:t>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jc w:val="center"/>
        <w:rPr>
          <w:rFonts w:ascii="Verdana" w:hAnsi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 w:before="57" w:after="57"/>
        <w:ind w:hanging="0" w:left="0" w:right="0"/>
        <w:contextualSpacing w:val="false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13.12..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>13.13.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 Qualquer alteração feita no contrato social, ato constitutivo ou estatuto deverá ser ois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13.14.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13.15. 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  <w:lang w:eastAsia="en-US"/>
        </w:rPr>
        <w:t xml:space="preserve">Para a efetivação do pagamento, a CONTRATADA deverá manter as mesmas 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  <w:lang w:eastAsia="pt-BR"/>
        </w:rPr>
        <w:t>condições relativas à proposta de preço e a habilitação.</w:t>
      </w:r>
    </w:p>
    <w:p>
      <w:pPr>
        <w:pStyle w:val="Default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14.1. Não se verifica contratações correlatas ou interdependentes para a viabilidade e contratação desta demanda.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16.1.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16.2. Considerando a necessidade de aquisição dos produtos decidiu-se pela aquisição por</w:t>
      </w:r>
      <w:r>
        <w:rPr>
          <w:rFonts w:cs="Arial" w:ascii="Verdana" w:hAnsi="Verdana"/>
          <w:sz w:val="20"/>
          <w:szCs w:val="20"/>
          <w:shd w:fill="auto" w:val="clear"/>
        </w:rPr>
        <w:t xml:space="preserve"> licitação.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17. ADEQUAÇÃO ORÇAMENTÁRIA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  <w:t>FICHA - FONTE 00217-1752000000000 no valor de R$  34.900,00 (trinta e quatro mil e novecentos reais)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18.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DOS RESPONSÁVEIS PELA ELABORAÇÃO DO TERMO DE REFERÊNCIA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18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05</w:t>
      </w:r>
      <w:r>
        <w:rPr>
          <w:rFonts w:ascii="Verdana" w:hAnsi="Verdana"/>
          <w:color w:val="000000"/>
          <w:sz w:val="20"/>
          <w:szCs w:val="20"/>
        </w:rPr>
        <w:t xml:space="preserve"> de agosto de 2026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76" w:before="57" w:after="57"/>
        <w:ind w:left="0" w:right="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ANDRESSA LINHARES MARTINS</w:t>
      </w:r>
    </w:p>
    <w:p>
      <w:pPr>
        <w:pStyle w:val="Normal"/>
        <w:spacing w:lineRule="auto" w:line="276" w:before="57" w:after="57"/>
        <w:ind w:left="0" w:right="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Agente de Serviços Técnicos -  Decreto nº </w:t>
      </w:r>
    </w:p>
    <w:p>
      <w:pPr>
        <w:pStyle w:val="Normal"/>
        <w:spacing w:lineRule="auto" w:line="276" w:before="57" w:after="57"/>
        <w:ind w:left="0" w:right="0"/>
        <w:jc w:val="lef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>Mat. nº 009838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  <w:highlight w:val="none"/>
          <w:u w:val="single"/>
          <w:shd w:fill="auto" w:val="clear"/>
        </w:rPr>
      </w:pPr>
      <w:r>
        <w:rPr>
          <w:rFonts w:cs="Arial" w:ascii="Verdana" w:hAnsi="Verdana"/>
          <w:b/>
          <w:sz w:val="20"/>
          <w:szCs w:val="20"/>
          <w:u w:val="single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Agente de Serviços Técnicos – Portaria n° 9.965/2025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</w:p>
    <w:sectPr>
      <w:headerReference w:type="even" r:id="rId10"/>
      <w:headerReference w:type="default" r:id="rId11"/>
      <w:headerReference w:type="first" r:id="rId12"/>
      <w:footerReference w:type="even" r:id="rId13"/>
      <w:footerReference w:type="default" r:id="rId14"/>
      <w:footerReference w:type="first" r:id="rId15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swiss"/>
    <w:pitch w:val="default"/>
  </w:font>
  <w:font w:name="OpenSymbol">
    <w:altName w:val="Arial Unicode MS"/>
    <w:charset w:val="02"/>
    <w:family w:val="roman"/>
    <w:pitch w:val="default"/>
  </w:font>
  <w:font w:name="Liberation Sans">
    <w:altName w:val="Arial"/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  <w:font w:name="Ecofont_Spranq_eco_Sans">
    <w:charset w:val="01"/>
    <w:family w:val="roman"/>
    <w:pitch w:val="default"/>
  </w:font>
  <w:font w:name="Verdana">
    <w:charset w:val="01"/>
    <w:family w:val="swiss"/>
    <w:pitch w:val="default"/>
  </w:font>
  <w:font w:name="Arial Narrow">
    <w:charset w:val="01"/>
    <w:family w:val="roman"/>
    <w:pitch w:val="default"/>
  </w:font>
  <w:font w:name="Tahoma">
    <w:charset w:val="01"/>
    <w:family w:val="roman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536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536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distT="0" distB="0" distL="114300" distR="114300" simplePos="0" relativeHeight="11" behindDoc="1" locked="0" layoutInCell="0" allowOverlap="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widowControl/>
      <w:suppressAutoHyphens w:val="true"/>
      <w:overflowPunct w:val="true"/>
      <w:bidi w:val="0"/>
      <w:spacing w:before="0" w:after="0"/>
      <w:ind w:hanging="0" w:left="57" w:right="0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distT="0" distB="0" distL="114300" distR="114300" simplePos="0" relativeHeight="11" behindDoc="1" locked="0" layoutInCell="0" allowOverlap="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widowControl/>
      <w:suppressAutoHyphens w:val="true"/>
      <w:overflowPunct w:val="true"/>
      <w:bidi w:val="0"/>
      <w:spacing w:before="0" w:after="0"/>
      <w:ind w:hanging="0" w:left="57" w:right="0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user">
    <w:name w:val="Marcadores (user)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Fontepargpadro1">
    <w:name w:val="Fonte parág. padrão1"/>
    <w:qFormat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Times New Roman" w:hAnsi="Times New Roman"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user">
    <w:name w:val="Conteúdo da tabela (user)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Semlistauser">
    <w:name w:val="Sem lista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sefaz.es.gov.br/" TargetMode="External"/><Relationship Id="rId3" Type="http://schemas.openxmlformats.org/officeDocument/2006/relationships/hyperlink" Target="http://www.tst.jus.br/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yperlink" Target="https://www.planalto.gov.br/ccivil_03/leis/lcp/lcp123.htm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oter" Target="footer3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Application>LibreOffice/26.2.5.2$Windows_X86_64 LibreOffice_project/cd7284b4cbbfeb507e630c1aac019f4157393acb</Application>
  <AppVersion>15.0000</AppVersion>
  <Pages>10</Pages>
  <Words>4035</Words>
  <Characters>23243</Characters>
  <CharactersWithSpaces>27130</CharactersWithSpaces>
  <Paragraphs>221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2024-11-06T17:12:32Z</cp:lastPrinted>
  <dcterms:modified xsi:type="dcterms:W3CDTF">2026-08-21T12:01:18Z</dcterms:modified>
  <cp:revision>153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